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snapToGrid w:val="0"/>
        <w:spacing w:line="360" w:lineRule="auto"/>
        <w:jc w:val="center"/>
        <w:rPr>
          <w:rFonts w:ascii="宋体" w:hAnsi="宋体"/>
          <w:b/>
          <w:bCs/>
          <w:color w:val="auto"/>
          <w:sz w:val="36"/>
          <w:szCs w:val="36"/>
        </w:rPr>
      </w:pPr>
      <w:r>
        <w:rPr>
          <w:rFonts w:hint="eastAsia" w:ascii="宋体" w:hAnsi="宋体"/>
          <w:b/>
          <w:bCs/>
          <w:color w:val="auto"/>
          <w:sz w:val="36"/>
          <w:szCs w:val="36"/>
        </w:rPr>
        <w:t>PTA装置 F-8501反冲洗过滤器组件采购技术要求</w:t>
      </w:r>
    </w:p>
    <w:p>
      <w:pPr>
        <w:pStyle w:val="8"/>
        <w:adjustRightInd w:val="0"/>
        <w:snapToGrid w:val="0"/>
        <w:spacing w:beforeLines="50" w:after="0" w:line="360" w:lineRule="auto"/>
        <w:ind w:firstLine="240" w:firstLineChars="100"/>
        <w:rPr>
          <w:rFonts w:asciiTheme="minorEastAsia" w:hAnsiTheme="minorEastAsia" w:eastAsiaTheme="minorEastAsia"/>
          <w:color w:val="auto"/>
        </w:rPr>
      </w:pPr>
      <w:r>
        <w:rPr>
          <w:rFonts w:hint="eastAsia" w:asciiTheme="minorEastAsia" w:hAnsiTheme="minorEastAsia" w:eastAsiaTheme="minorEastAsia"/>
        </w:rPr>
        <w:t>一、</w:t>
      </w:r>
      <w:r>
        <w:rPr>
          <w:rFonts w:asciiTheme="minorEastAsia" w:hAnsiTheme="minorEastAsia" w:eastAsiaTheme="minorEastAsia"/>
        </w:rPr>
        <w:t xml:space="preserve"> </w:t>
      </w:r>
      <w:r>
        <w:rPr>
          <w:rFonts w:hint="eastAsia" w:asciiTheme="minorEastAsia" w:hAnsiTheme="minorEastAsia" w:eastAsiaTheme="minorEastAsia"/>
        </w:rPr>
        <w:t>概况</w:t>
      </w:r>
      <w:r>
        <w:rPr>
          <w:rFonts w:asciiTheme="minorEastAsia" w:hAnsiTheme="minorEastAsia" w:eastAsiaTheme="minorEastAsia"/>
          <w:color w:val="auto"/>
        </w:rPr>
        <w:t xml:space="preserve">      </w:t>
      </w:r>
    </w:p>
    <w:p>
      <w:pPr>
        <w:pStyle w:val="8"/>
        <w:numPr>
          <w:ilvl w:val="0"/>
          <w:numId w:val="1"/>
        </w:numPr>
        <w:adjustRightInd w:val="0"/>
        <w:snapToGrid w:val="0"/>
        <w:spacing w:after="0"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名称：F-8501反冲洗过滤器组件采购项目</w:t>
      </w:r>
    </w:p>
    <w:p>
      <w:pPr>
        <w:pStyle w:val="8"/>
        <w:numPr>
          <w:ilvl w:val="0"/>
          <w:numId w:val="1"/>
        </w:numPr>
        <w:adjustRightInd w:val="0"/>
        <w:snapToGrid w:val="0"/>
        <w:spacing w:after="0"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业主（或甲方）：福建福海创石油化工有限公司</w:t>
      </w:r>
    </w:p>
    <w:p>
      <w:pPr>
        <w:pStyle w:val="8"/>
        <w:numPr>
          <w:ilvl w:val="0"/>
          <w:numId w:val="1"/>
        </w:numPr>
        <w:adjustRightInd w:val="0"/>
        <w:snapToGrid w:val="0"/>
        <w:spacing w:after="0"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供应商（或乙方）：</w:t>
      </w:r>
      <w:r>
        <w:rPr>
          <w:rFonts w:asciiTheme="minorEastAsia" w:hAnsiTheme="minorEastAsia" w:eastAsiaTheme="minorEastAsia"/>
        </w:rPr>
        <w:t xml:space="preserve"> </w:t>
      </w:r>
    </w:p>
    <w:p>
      <w:pPr>
        <w:pStyle w:val="8"/>
        <w:numPr>
          <w:ilvl w:val="0"/>
          <w:numId w:val="1"/>
        </w:numPr>
        <w:adjustRightInd w:val="0"/>
        <w:snapToGrid w:val="0"/>
        <w:spacing w:after="0"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地点：福建省漳州市古雷开发区腾龙路86号</w:t>
      </w:r>
    </w:p>
    <w:p>
      <w:pPr>
        <w:pStyle w:val="8"/>
        <w:adjustRightInd w:val="0"/>
        <w:snapToGrid w:val="0"/>
        <w:spacing w:beforeLines="50" w:after="0" w:line="360" w:lineRule="auto"/>
        <w:ind w:firstLine="240" w:firstLineChars="100"/>
        <w:rPr>
          <w:rFonts w:asciiTheme="minorEastAsia" w:hAnsiTheme="minorEastAsia" w:eastAsiaTheme="minorEastAsia"/>
          <w:color w:val="auto"/>
        </w:rPr>
      </w:pPr>
      <w:r>
        <w:rPr>
          <w:rFonts w:hint="eastAsia" w:asciiTheme="minorEastAsia" w:hAnsiTheme="minorEastAsia" w:eastAsiaTheme="minorEastAsia"/>
          <w:color w:val="auto"/>
        </w:rPr>
        <w:t>二、</w:t>
      </w:r>
      <w:r>
        <w:rPr>
          <w:rFonts w:asciiTheme="minorEastAsia" w:hAnsiTheme="minorEastAsia" w:eastAsiaTheme="minorEastAsia"/>
          <w:color w:val="auto"/>
        </w:rPr>
        <w:t xml:space="preserve"> </w:t>
      </w:r>
      <w:r>
        <w:rPr>
          <w:rFonts w:hint="eastAsia" w:asciiTheme="minorEastAsia" w:hAnsiTheme="minorEastAsia" w:eastAsiaTheme="minorEastAsia"/>
          <w:color w:val="auto"/>
        </w:rPr>
        <w:t>请购明细：</w:t>
      </w:r>
    </w:p>
    <w:tbl>
      <w:tblPr>
        <w:tblStyle w:val="5"/>
        <w:tblW w:w="10044" w:type="dxa"/>
        <w:tblInd w:w="-72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418"/>
        <w:gridCol w:w="1134"/>
        <w:gridCol w:w="864"/>
        <w:gridCol w:w="1842"/>
        <w:gridCol w:w="2410"/>
        <w:gridCol w:w="709"/>
        <w:gridCol w:w="9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75" w:type="dxa"/>
            <w:shd w:val="clear" w:color="auto" w:fill="auto"/>
          </w:tcPr>
          <w:p>
            <w:pPr>
              <w:spacing w:line="480" w:lineRule="auto"/>
              <w:ind w:right="-250" w:rightChars="-119"/>
              <w:rPr>
                <w:rFonts w:cs="华文楷体" w:asciiTheme="minorEastAsia" w:hAnsiTheme="minorEastAsia" w:eastAsiaTheme="minorEastAsia"/>
                <w:sz w:val="24"/>
                <w:szCs w:val="24"/>
              </w:rPr>
            </w:pPr>
            <w:r>
              <w:rPr>
                <w:rFonts w:cs="华文楷体" w:asciiTheme="minorEastAsia" w:hAnsiTheme="minorEastAsia" w:eastAsiaTheme="minorEastAsia"/>
                <w:sz w:val="24"/>
                <w:szCs w:val="24"/>
              </w:rPr>
              <w:t>序号</w:t>
            </w:r>
          </w:p>
        </w:tc>
        <w:tc>
          <w:tcPr>
            <w:tcW w:w="1418" w:type="dxa"/>
          </w:tcPr>
          <w:p>
            <w:pPr>
              <w:spacing w:line="480" w:lineRule="auto"/>
              <w:jc w:val="center"/>
              <w:rPr>
                <w:rFonts w:cs="华文楷体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华文楷体" w:asciiTheme="minorEastAsia" w:hAnsiTheme="minorEastAsia" w:eastAsiaTheme="minorEastAsia"/>
                <w:sz w:val="24"/>
                <w:szCs w:val="24"/>
              </w:rPr>
              <w:t>物编</w:t>
            </w:r>
          </w:p>
        </w:tc>
        <w:tc>
          <w:tcPr>
            <w:tcW w:w="1134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cs="华文楷体" w:asciiTheme="minorEastAsia" w:hAnsiTheme="minorEastAsia" w:eastAsiaTheme="minorEastAsia"/>
                <w:sz w:val="24"/>
                <w:szCs w:val="24"/>
              </w:rPr>
            </w:pPr>
            <w:r>
              <w:rPr>
                <w:rFonts w:cs="华文楷体" w:asciiTheme="minorEastAsia" w:hAnsiTheme="minorEastAsia" w:eastAsiaTheme="minorEastAsia"/>
                <w:sz w:val="24"/>
                <w:szCs w:val="24"/>
              </w:rPr>
              <w:t>名称</w:t>
            </w:r>
          </w:p>
        </w:tc>
        <w:tc>
          <w:tcPr>
            <w:tcW w:w="864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cs="华文楷体" w:asciiTheme="minorEastAsia" w:hAnsiTheme="minorEastAsia" w:eastAsiaTheme="minorEastAsia"/>
                <w:sz w:val="24"/>
                <w:szCs w:val="24"/>
              </w:rPr>
            </w:pPr>
            <w:r>
              <w:rPr>
                <w:rFonts w:cs="华文楷体" w:asciiTheme="minorEastAsia" w:hAnsiTheme="minorEastAsia" w:eastAsiaTheme="minorEastAsia"/>
                <w:sz w:val="24"/>
                <w:szCs w:val="24"/>
              </w:rPr>
              <w:t>位号</w:t>
            </w:r>
          </w:p>
        </w:tc>
        <w:tc>
          <w:tcPr>
            <w:tcW w:w="1842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cs="华文楷体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华文楷体" w:asciiTheme="minorEastAsia" w:hAnsiTheme="minorEastAsia" w:eastAsiaTheme="minorEastAsia"/>
                <w:sz w:val="24"/>
                <w:szCs w:val="24"/>
              </w:rPr>
              <w:t>材质</w:t>
            </w:r>
          </w:p>
        </w:tc>
        <w:tc>
          <w:tcPr>
            <w:tcW w:w="2410" w:type="dxa"/>
            <w:shd w:val="clear" w:color="auto" w:fill="auto"/>
          </w:tcPr>
          <w:p>
            <w:pPr>
              <w:spacing w:line="480" w:lineRule="auto"/>
              <w:ind w:right="-531" w:rightChars="-253" w:firstLine="480" w:firstLineChars="200"/>
              <w:rPr>
                <w:rFonts w:cs="华文楷体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华文楷体" w:asciiTheme="minorEastAsia" w:hAnsiTheme="minorEastAsia" w:eastAsiaTheme="minorEastAsia"/>
                <w:sz w:val="24"/>
                <w:szCs w:val="24"/>
              </w:rPr>
              <w:t>规格</w:t>
            </w:r>
          </w:p>
        </w:tc>
        <w:tc>
          <w:tcPr>
            <w:tcW w:w="709" w:type="dxa"/>
          </w:tcPr>
          <w:p>
            <w:pPr>
              <w:spacing w:line="480" w:lineRule="auto"/>
              <w:jc w:val="center"/>
              <w:rPr>
                <w:rFonts w:cs="华文楷体" w:asciiTheme="minorEastAsia" w:hAnsiTheme="minorEastAsia" w:eastAsiaTheme="minorEastAsia"/>
                <w:sz w:val="24"/>
                <w:szCs w:val="24"/>
              </w:rPr>
            </w:pPr>
            <w:r>
              <w:rPr>
                <w:rFonts w:cs="华文楷体" w:asciiTheme="minorEastAsia" w:hAnsiTheme="minorEastAsia" w:eastAsiaTheme="minorEastAsia"/>
                <w:sz w:val="24"/>
                <w:szCs w:val="24"/>
              </w:rPr>
              <w:t>数量</w:t>
            </w:r>
          </w:p>
        </w:tc>
        <w:tc>
          <w:tcPr>
            <w:tcW w:w="992" w:type="dxa"/>
          </w:tcPr>
          <w:p>
            <w:pPr>
              <w:spacing w:line="480" w:lineRule="auto"/>
              <w:ind w:leftChars="-218" w:hanging="458" w:hangingChars="191"/>
              <w:jc w:val="center"/>
              <w:rPr>
                <w:rFonts w:cs="华文楷体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华文楷体" w:asciiTheme="minorEastAsia" w:hAnsiTheme="minorEastAsia" w:eastAsiaTheme="minorEastAsia"/>
                <w:sz w:val="24"/>
                <w:szCs w:val="24"/>
              </w:rPr>
              <w:t xml:space="preserve">   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2" w:hRule="atLeast"/>
        </w:trPr>
        <w:tc>
          <w:tcPr>
            <w:tcW w:w="675" w:type="dxa"/>
            <w:shd w:val="clear" w:color="auto" w:fill="auto"/>
          </w:tcPr>
          <w:p>
            <w:pPr>
              <w:spacing w:line="480" w:lineRule="auto"/>
              <w:ind w:firstLine="240" w:firstLineChars="100"/>
              <w:rPr>
                <w:rFonts w:cs="华文楷体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华文楷体" w:asciiTheme="minorEastAsia" w:hAnsiTheme="minorEastAsia" w:eastAsiaTheme="minorEastAsia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>
            <w:pPr>
              <w:spacing w:line="480" w:lineRule="auto"/>
              <w:ind w:right="-107" w:rightChars="-51"/>
              <w:rPr>
                <w:rFonts w:asciiTheme="minorEastAsia" w:hAnsiTheme="minorEastAsia" w:eastAsiaTheme="minorEastAsia"/>
              </w:rPr>
            </w:pPr>
            <w:r>
              <w:rPr>
                <w:rFonts w:asciiTheme="minorEastAsia" w:hAnsiTheme="minorEastAsia" w:eastAsiaTheme="minorEastAsia"/>
              </w:rPr>
              <w:t>1335020216</w:t>
            </w:r>
          </w:p>
        </w:tc>
        <w:tc>
          <w:tcPr>
            <w:tcW w:w="1134" w:type="dxa"/>
            <w:shd w:val="clear" w:color="auto" w:fill="auto"/>
          </w:tcPr>
          <w:p>
            <w:pPr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反冲洗过滤器储罐组件</w:t>
            </w:r>
          </w:p>
        </w:tc>
        <w:tc>
          <w:tcPr>
            <w:tcW w:w="864" w:type="dxa"/>
            <w:shd w:val="clear" w:color="auto" w:fill="auto"/>
          </w:tcPr>
          <w:p>
            <w:pPr>
              <w:spacing w:line="480" w:lineRule="auto"/>
              <w:ind w:right="-107" w:rightChars="-51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F-8501</w:t>
            </w:r>
          </w:p>
        </w:tc>
        <w:tc>
          <w:tcPr>
            <w:tcW w:w="1842" w:type="dxa"/>
            <w:shd w:val="clear" w:color="auto" w:fill="auto"/>
          </w:tcPr>
          <w:p>
            <w:pPr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筒体材质2205；轴瓦锡青铜；</w:t>
            </w:r>
            <w:r>
              <w:rPr>
                <w:rFonts w:asciiTheme="minorEastAsia" w:hAnsiTheme="minorEastAsia" w:eastAsiaTheme="minorEastAsia"/>
              </w:rPr>
              <w:t>转轴及桨叶材质为2205（含钢丝刷）</w:t>
            </w:r>
          </w:p>
        </w:tc>
        <w:tc>
          <w:tcPr>
            <w:tcW w:w="2410" w:type="dxa"/>
            <w:shd w:val="clear" w:color="auto" w:fill="auto"/>
          </w:tcPr>
          <w:p>
            <w:pPr>
              <w:rPr>
                <w:rFonts w:asciiTheme="minorEastAsia" w:hAnsiTheme="minorEastAsia" w:eastAsiaTheme="minorEastAsia"/>
              </w:rPr>
            </w:pPr>
            <w:r>
              <w:rPr>
                <w:rFonts w:asciiTheme="minorEastAsia" w:hAnsiTheme="minorEastAsia" w:eastAsiaTheme="minorEastAsia"/>
              </w:rPr>
              <w:t>直径1200mm，</w:t>
            </w:r>
            <w:r>
              <w:rPr>
                <w:rFonts w:hint="eastAsia" w:asciiTheme="minorEastAsia" w:hAnsiTheme="minorEastAsia" w:eastAsiaTheme="minorEastAsia"/>
              </w:rPr>
              <w:t>高度约2500mm,</w:t>
            </w:r>
            <w:r>
              <w:rPr>
                <w:rFonts w:hint="eastAsia" w:ascii="宋体" w:hAnsi="宋体"/>
                <w:color w:val="000000"/>
                <w:kern w:val="0"/>
              </w:rPr>
              <w:t xml:space="preserve"> 罐壁厚度≥6mm,</w:t>
            </w:r>
            <w:r>
              <w:rPr>
                <w:rFonts w:asciiTheme="minorEastAsia" w:hAnsiTheme="minorEastAsia" w:eastAsiaTheme="minorEastAsia"/>
              </w:rPr>
              <w:t>摆线针轮减速机</w:t>
            </w:r>
            <w:r>
              <w:rPr>
                <w:rFonts w:hint="eastAsia" w:asciiTheme="minorEastAsia" w:hAnsiTheme="minorEastAsia" w:eastAsiaTheme="minorEastAsia"/>
              </w:rPr>
              <w:t>型号:</w:t>
            </w:r>
            <w:r>
              <w:rPr>
                <w:rFonts w:asciiTheme="minorEastAsia" w:hAnsiTheme="minorEastAsia" w:eastAsiaTheme="minorEastAsia"/>
              </w:rPr>
              <w:t>BLED31-289-1.1-ZP</w:t>
            </w:r>
          </w:p>
        </w:tc>
        <w:tc>
          <w:tcPr>
            <w:tcW w:w="709" w:type="dxa"/>
          </w:tcPr>
          <w:p>
            <w:pPr>
              <w:spacing w:line="480" w:lineRule="auto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4台</w:t>
            </w:r>
          </w:p>
        </w:tc>
        <w:tc>
          <w:tcPr>
            <w:tcW w:w="992" w:type="dxa"/>
          </w:tcPr>
          <w:p>
            <w:pPr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需现场测绘,附图仅供参考</w:t>
            </w:r>
          </w:p>
        </w:tc>
      </w:tr>
    </w:tbl>
    <w:p>
      <w:pPr>
        <w:pStyle w:val="7"/>
        <w:ind w:firstLine="480" w:firstLineChars="200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供货范围：储罐组件主要含储罐、过滤网、搅拌轴、上下轴瓦、减速机（不含电机）等，需组装成套供货；设计、材料购买、制造、试验、检验、包装、运输等全过程，若我司设计参数变更，投标商需无条件配合更改。设备管口数量/规格、内件等技术变更投标商须配合更改，产生的材料费和人工双方协商处理，当设计参数变更引起主体材料（筒体/封头的材质、主要尺寸、厚度）改变时，双方另行商务协商处理。</w:t>
      </w:r>
    </w:p>
    <w:p>
      <w:pPr>
        <w:pStyle w:val="8"/>
        <w:adjustRightInd w:val="0"/>
        <w:snapToGrid w:val="0"/>
        <w:spacing w:beforeLines="50" w:after="0" w:line="360" w:lineRule="auto"/>
        <w:ind w:firstLine="240" w:firstLineChars="100"/>
        <w:rPr>
          <w:rFonts w:asciiTheme="minorEastAsia" w:hAnsiTheme="minorEastAsia" w:eastAsiaTheme="minorEastAsia"/>
          <w:color w:val="auto"/>
        </w:rPr>
      </w:pPr>
      <w:r>
        <w:rPr>
          <w:rFonts w:hint="eastAsia" w:asciiTheme="minorEastAsia" w:hAnsiTheme="minorEastAsia" w:eastAsiaTheme="minorEastAsia"/>
        </w:rPr>
        <w:t>三、投标要求</w:t>
      </w:r>
    </w:p>
    <w:p>
      <w:pPr>
        <w:pStyle w:val="8"/>
        <w:numPr>
          <w:ilvl w:val="0"/>
          <w:numId w:val="2"/>
        </w:numPr>
        <w:adjustRightInd w:val="0"/>
        <w:snapToGrid w:val="0"/>
        <w:spacing w:after="0" w:line="360" w:lineRule="auto"/>
        <w:rPr>
          <w:rFonts w:asciiTheme="minorEastAsia" w:hAnsiTheme="minorEastAsia" w:eastAsiaTheme="minorEastAsia"/>
        </w:rPr>
      </w:pPr>
      <w:r>
        <w:rPr>
          <w:rFonts w:hint="eastAsia" w:cs="Calibri" w:asciiTheme="minorEastAsia" w:hAnsiTheme="minorEastAsia" w:eastAsiaTheme="minorEastAsia"/>
        </w:rPr>
        <w:t>投标商</w:t>
      </w:r>
      <w:r>
        <w:rPr>
          <w:rFonts w:hint="eastAsia" w:asciiTheme="minorEastAsia" w:hAnsiTheme="minorEastAsia" w:eastAsiaTheme="minorEastAsia"/>
        </w:rPr>
        <w:t>需具有独立法人资格和履行合同能力，有良好的信誉和售后服务能力；</w:t>
      </w:r>
    </w:p>
    <w:p>
      <w:pPr>
        <w:pStyle w:val="7"/>
        <w:numPr>
          <w:ilvl w:val="0"/>
          <w:numId w:val="2"/>
        </w:numPr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参选单位与我司合作项目不存在技术或者商务纠纷，供给我司产品无质量问题；</w:t>
      </w:r>
    </w:p>
    <w:p>
      <w:pPr>
        <w:pStyle w:val="8"/>
        <w:numPr>
          <w:ilvl w:val="0"/>
          <w:numId w:val="2"/>
        </w:numPr>
        <w:adjustRightInd w:val="0"/>
        <w:snapToGrid w:val="0"/>
        <w:spacing w:after="0" w:line="360" w:lineRule="auto"/>
        <w:rPr>
          <w:rFonts w:cs="Calibri" w:asciiTheme="minorEastAsia" w:hAnsiTheme="minorEastAsia" w:eastAsiaTheme="minorEastAsia"/>
        </w:rPr>
      </w:pPr>
      <w:r>
        <w:rPr>
          <w:rFonts w:hint="eastAsia" w:cs="Calibri" w:asciiTheme="minorEastAsia" w:hAnsiTheme="minorEastAsia" w:eastAsiaTheme="minorEastAsia"/>
        </w:rPr>
        <w:t>投标商应具备固定式压力容器D级以上设计及制造许可，并有近五年类似搅拌设备的业绩；</w:t>
      </w:r>
    </w:p>
    <w:p>
      <w:pPr>
        <w:pStyle w:val="8"/>
        <w:numPr>
          <w:ilvl w:val="0"/>
          <w:numId w:val="2"/>
        </w:numPr>
        <w:adjustRightInd w:val="0"/>
        <w:snapToGrid w:val="0"/>
        <w:spacing w:after="0" w:line="360" w:lineRule="auto"/>
        <w:rPr>
          <w:rFonts w:cs="Calibri" w:asciiTheme="minorEastAsia" w:hAnsiTheme="minorEastAsia" w:eastAsiaTheme="minorEastAsia"/>
        </w:rPr>
      </w:pPr>
      <w:r>
        <w:rPr>
          <w:rFonts w:hint="eastAsia" w:cs="Calibri" w:asciiTheme="minorEastAsia" w:hAnsiTheme="minorEastAsia" w:eastAsiaTheme="minorEastAsia"/>
        </w:rPr>
        <w:t>要求交货期为合同订单签订后4个月内。</w:t>
      </w:r>
    </w:p>
    <w:p>
      <w:pPr>
        <w:pStyle w:val="8"/>
        <w:adjustRightInd w:val="0"/>
        <w:snapToGrid w:val="0"/>
        <w:spacing w:beforeLines="50" w:after="0" w:line="360" w:lineRule="auto"/>
        <w:ind w:firstLine="240" w:firstLineChars="100"/>
        <w:rPr>
          <w:rFonts w:asciiTheme="minorEastAsia" w:hAnsiTheme="minorEastAsia" w:eastAsiaTheme="minorEastAsia"/>
          <w:color w:val="auto"/>
        </w:rPr>
      </w:pPr>
      <w:r>
        <w:rPr>
          <w:rFonts w:hint="eastAsia" w:asciiTheme="minorEastAsia" w:hAnsiTheme="minorEastAsia" w:eastAsiaTheme="minorEastAsia"/>
          <w:color w:val="auto"/>
        </w:rPr>
        <w:t>四、交货地点</w:t>
      </w:r>
    </w:p>
    <w:p>
      <w:pPr>
        <w:pStyle w:val="8"/>
        <w:adjustRightInd w:val="0"/>
        <w:snapToGrid w:val="0"/>
        <w:spacing w:beforeLines="50" w:after="0" w:line="360" w:lineRule="auto"/>
        <w:ind w:firstLine="240" w:firstLineChars="100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福建福海创石油化工有限公司PTA厂区。</w:t>
      </w:r>
    </w:p>
    <w:p>
      <w:pPr>
        <w:pStyle w:val="9"/>
        <w:numPr>
          <w:ilvl w:val="0"/>
          <w:numId w:val="3"/>
        </w:numPr>
        <w:spacing w:line="480" w:lineRule="exact"/>
        <w:rPr>
          <w:rFonts w:asciiTheme="minorEastAsia" w:hAnsiTheme="minorEastAsia" w:eastAsiaTheme="minorEastAsia"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/>
          <w:kern w:val="0"/>
          <w:sz w:val="24"/>
          <w:szCs w:val="24"/>
        </w:rPr>
        <w:t>技术及相关要求：</w:t>
      </w:r>
    </w:p>
    <w:p>
      <w:pPr>
        <w:pStyle w:val="9"/>
        <w:numPr>
          <w:ilvl w:val="0"/>
          <w:numId w:val="4"/>
        </w:numPr>
        <w:spacing w:line="420" w:lineRule="auto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附图仅供参考，详细外观尺寸需现场测量，特别是管口方位需与原位置匹配；</w:t>
      </w:r>
      <w:r>
        <w:rPr>
          <w:rFonts w:asciiTheme="minorEastAsia" w:hAnsiTheme="minorEastAsia" w:eastAsiaTheme="minorEastAsia"/>
          <w:sz w:val="24"/>
          <w:szCs w:val="24"/>
        </w:rPr>
        <w:t xml:space="preserve"> </w:t>
      </w:r>
    </w:p>
    <w:p>
      <w:pPr>
        <w:pStyle w:val="9"/>
        <w:numPr>
          <w:ilvl w:val="0"/>
          <w:numId w:val="4"/>
        </w:numPr>
        <w:spacing w:line="420" w:lineRule="auto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投标商根据福海创提供的询价简图及数据表，完成施工图纸设计，施工图需经福海创确认；</w:t>
      </w:r>
    </w:p>
    <w:p>
      <w:pPr>
        <w:pStyle w:val="9"/>
        <w:numPr>
          <w:ilvl w:val="0"/>
          <w:numId w:val="4"/>
        </w:numPr>
        <w:spacing w:line="420" w:lineRule="auto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设备附件：一切与设备焊接或不相焊接之构件包含且不仅限于补强圈、支（鞍）座、支（鞍）座地脚螺栓、吊耳、接地板、铭牌及铭牌支架、盲法兰（含垫片、紧固件）、与管口法兰配套之盲板，连接管等部件，本案所有的联接件/内件/支承圈等均由投标商负责设计、采购、制作，并经福海创确认。</w:t>
      </w:r>
    </w:p>
    <w:p>
      <w:pPr>
        <w:pStyle w:val="9"/>
        <w:numPr>
          <w:ilvl w:val="0"/>
          <w:numId w:val="4"/>
        </w:numPr>
        <w:spacing w:line="420" w:lineRule="auto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包装、运输用的临时部件应包括：用于运输的管口盲板、紧固件、垫片、临时固定装置、保护装置；</w:t>
      </w:r>
    </w:p>
    <w:p>
      <w:pPr>
        <w:pStyle w:val="9"/>
        <w:numPr>
          <w:ilvl w:val="0"/>
          <w:numId w:val="4"/>
        </w:numPr>
        <w:spacing w:line="420" w:lineRule="auto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设备检验和试验；</w:t>
      </w:r>
    </w:p>
    <w:p>
      <w:pPr>
        <w:pStyle w:val="9"/>
        <w:numPr>
          <w:ilvl w:val="0"/>
          <w:numId w:val="4"/>
        </w:numPr>
        <w:spacing w:line="420" w:lineRule="auto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按国家相关标准和福海创规范要求进行设备包装、运输，要求为整体交货，车板交货古雷现场福海创指定位置，甲方对设备的质量、规格、数量等进行初步的检验，如发现不符可向乙方索赔，验收合格后双方签字确认。</w:t>
      </w:r>
    </w:p>
    <w:p>
      <w:pPr>
        <w:pStyle w:val="9"/>
        <w:numPr>
          <w:ilvl w:val="0"/>
          <w:numId w:val="4"/>
        </w:numPr>
        <w:spacing w:line="420" w:lineRule="auto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施工图及相应技术规范所规定的其他工作。</w:t>
      </w:r>
    </w:p>
    <w:p>
      <w:pPr>
        <w:pStyle w:val="9"/>
        <w:numPr>
          <w:ilvl w:val="0"/>
          <w:numId w:val="4"/>
        </w:numPr>
        <w:spacing w:line="420" w:lineRule="auto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参与需方组织的设备相关会议和设备现场的安装指导。</w:t>
      </w:r>
    </w:p>
    <w:p>
      <w:pPr>
        <w:pStyle w:val="9"/>
        <w:numPr>
          <w:ilvl w:val="0"/>
          <w:numId w:val="4"/>
        </w:numPr>
        <w:spacing w:line="420" w:lineRule="auto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竣工资料：6份纸质竣工资料（1正5副）+1份电子档光盘。</w:t>
      </w:r>
    </w:p>
    <w:p>
      <w:pPr>
        <w:pStyle w:val="9"/>
        <w:numPr>
          <w:ilvl w:val="0"/>
          <w:numId w:val="4"/>
        </w:numPr>
        <w:spacing w:line="420" w:lineRule="auto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投标商确认其供货范围及工作范围完全符合我司提供的数据表、询价简图、相关请购文档要求。</w:t>
      </w:r>
    </w:p>
    <w:p>
      <w:pPr>
        <w:spacing w:line="420" w:lineRule="auto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六、性能保证</w:t>
      </w:r>
    </w:p>
    <w:p>
      <w:pPr>
        <w:spacing w:line="500" w:lineRule="exact"/>
        <w:ind w:firstLine="480" w:firstLineChars="200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质量保证期为交货18个月或者运行12个月，以先到为准。</w:t>
      </w:r>
    </w:p>
    <w:p>
      <w:pPr>
        <w:spacing w:line="500" w:lineRule="exact"/>
        <w:ind w:firstLine="480" w:firstLineChars="200"/>
        <w:rPr>
          <w:rFonts w:asciiTheme="minorEastAsia" w:hAnsiTheme="minorEastAsia" w:eastAsiaTheme="minorEastAsia"/>
          <w:sz w:val="24"/>
          <w:szCs w:val="24"/>
        </w:rPr>
      </w:pPr>
    </w:p>
    <w:p>
      <w:pPr>
        <w:spacing w:line="500" w:lineRule="exact"/>
        <w:ind w:firstLine="480" w:firstLineChars="200"/>
        <w:rPr>
          <w:rFonts w:asciiTheme="minorEastAsia" w:hAnsiTheme="minorEastAsia" w:eastAsiaTheme="minorEastAsia"/>
          <w:sz w:val="24"/>
          <w:szCs w:val="24"/>
        </w:rPr>
      </w:pPr>
    </w:p>
    <w:p>
      <w:pPr>
        <w:spacing w:line="500" w:lineRule="exact"/>
        <w:ind w:firstLine="480" w:firstLineChars="200"/>
        <w:rPr>
          <w:rFonts w:asciiTheme="minorEastAsia" w:hAnsiTheme="minorEastAsia" w:eastAsiaTheme="minorEastAsia"/>
          <w:sz w:val="24"/>
          <w:szCs w:val="24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1E3A39"/>
    <w:multiLevelType w:val="multilevel"/>
    <w:tmpl w:val="0E1E3A39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FF87E1F"/>
    <w:multiLevelType w:val="multilevel"/>
    <w:tmpl w:val="2FF87E1F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6CA7FA7"/>
    <w:multiLevelType w:val="multilevel"/>
    <w:tmpl w:val="46CA7FA7"/>
    <w:lvl w:ilvl="0" w:tentative="0">
      <w:start w:val="5"/>
      <w:numFmt w:val="japaneseCounting"/>
      <w:lvlText w:val="%1、"/>
      <w:lvlJc w:val="left"/>
      <w:pPr>
        <w:ind w:left="720" w:hanging="4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080" w:hanging="420"/>
      </w:pPr>
    </w:lvl>
    <w:lvl w:ilvl="2" w:tentative="0">
      <w:start w:val="1"/>
      <w:numFmt w:val="lowerRoman"/>
      <w:lvlText w:val="%3."/>
      <w:lvlJc w:val="right"/>
      <w:pPr>
        <w:ind w:left="1500" w:hanging="420"/>
      </w:pPr>
    </w:lvl>
    <w:lvl w:ilvl="3" w:tentative="0">
      <w:start w:val="1"/>
      <w:numFmt w:val="decimal"/>
      <w:lvlText w:val="%4."/>
      <w:lvlJc w:val="left"/>
      <w:pPr>
        <w:ind w:left="1920" w:hanging="420"/>
      </w:pPr>
    </w:lvl>
    <w:lvl w:ilvl="4" w:tentative="0">
      <w:start w:val="1"/>
      <w:numFmt w:val="lowerLetter"/>
      <w:lvlText w:val="%5)"/>
      <w:lvlJc w:val="left"/>
      <w:pPr>
        <w:ind w:left="2340" w:hanging="420"/>
      </w:pPr>
    </w:lvl>
    <w:lvl w:ilvl="5" w:tentative="0">
      <w:start w:val="1"/>
      <w:numFmt w:val="lowerRoman"/>
      <w:lvlText w:val="%6."/>
      <w:lvlJc w:val="right"/>
      <w:pPr>
        <w:ind w:left="2760" w:hanging="420"/>
      </w:pPr>
    </w:lvl>
    <w:lvl w:ilvl="6" w:tentative="0">
      <w:start w:val="1"/>
      <w:numFmt w:val="decimal"/>
      <w:lvlText w:val="%7."/>
      <w:lvlJc w:val="left"/>
      <w:pPr>
        <w:ind w:left="3180" w:hanging="420"/>
      </w:pPr>
    </w:lvl>
    <w:lvl w:ilvl="7" w:tentative="0">
      <w:start w:val="1"/>
      <w:numFmt w:val="lowerLetter"/>
      <w:lvlText w:val="%8)"/>
      <w:lvlJc w:val="left"/>
      <w:pPr>
        <w:ind w:left="3600" w:hanging="420"/>
      </w:pPr>
    </w:lvl>
    <w:lvl w:ilvl="8" w:tentative="0">
      <w:start w:val="1"/>
      <w:numFmt w:val="lowerRoman"/>
      <w:lvlText w:val="%9."/>
      <w:lvlJc w:val="right"/>
      <w:pPr>
        <w:ind w:left="4020" w:hanging="420"/>
      </w:pPr>
    </w:lvl>
  </w:abstractNum>
  <w:abstractNum w:abstractNumId="3">
    <w:nsid w:val="5F0810D9"/>
    <w:multiLevelType w:val="multilevel"/>
    <w:tmpl w:val="5F0810D9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D613688-7A2B-4170-87C1-6EBC2A2E43C0}">
  <ds:schemaRefs/>
</ds:datastoreItem>
</file>